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C2A" w:rsidRDefault="00260C2A">
      <w:pPr>
        <w:spacing w:before="2"/>
        <w:rPr>
          <w:rFonts w:ascii="Times New Roman" w:eastAsia="Times New Roman" w:hAnsi="Times New Roman" w:cs="Times New Roman"/>
          <w:sz w:val="6"/>
          <w:szCs w:val="6"/>
        </w:rPr>
      </w:pPr>
      <w:bookmarkStart w:id="0" w:name="_GoBack"/>
      <w:bookmarkEnd w:id="0"/>
    </w:p>
    <w:p w:rsidR="00260C2A" w:rsidRDefault="00C60001">
      <w:pPr>
        <w:spacing w:line="200" w:lineRule="atLeast"/>
        <w:ind w:left="344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CA" w:eastAsia="en-CA"/>
        </w:rPr>
        <w:drawing>
          <wp:inline distT="0" distB="0" distL="0" distR="0">
            <wp:extent cx="1695477" cy="83400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95477" cy="834008"/>
                    </a:xfrm>
                    <a:prstGeom prst="rect">
                      <a:avLst/>
                    </a:prstGeom>
                  </pic:spPr>
                </pic:pic>
              </a:graphicData>
            </a:graphic>
          </wp:inline>
        </w:drawing>
      </w:r>
    </w:p>
    <w:p w:rsidR="00260C2A" w:rsidRDefault="00260C2A">
      <w:pPr>
        <w:rPr>
          <w:rFonts w:ascii="Times New Roman" w:eastAsia="Times New Roman" w:hAnsi="Times New Roman" w:cs="Times New Roman"/>
          <w:sz w:val="20"/>
          <w:szCs w:val="20"/>
        </w:rPr>
      </w:pPr>
    </w:p>
    <w:p w:rsidR="00260C2A" w:rsidRDefault="00260C2A">
      <w:pPr>
        <w:spacing w:before="6"/>
        <w:rPr>
          <w:rFonts w:ascii="Times New Roman" w:eastAsia="Times New Roman" w:hAnsi="Times New Roman" w:cs="Times New Roman"/>
          <w:sz w:val="16"/>
          <w:szCs w:val="16"/>
        </w:rPr>
      </w:pPr>
    </w:p>
    <w:p w:rsidR="00260C2A" w:rsidRDefault="008B3D0E">
      <w:pPr>
        <w:spacing w:before="65"/>
        <w:ind w:left="100"/>
        <w:rPr>
          <w:rFonts w:ascii="Arial" w:eastAsia="Arial" w:hAnsi="Arial" w:cs="Arial"/>
          <w:sz w:val="28"/>
          <w:szCs w:val="28"/>
        </w:rPr>
      </w:pPr>
      <w:r>
        <w:rPr>
          <w:rFonts w:ascii="Arial" w:eastAsia="Arial" w:hAnsi="Arial" w:cs="Arial"/>
          <w:b/>
          <w:bCs/>
          <w:spacing w:val="-1"/>
          <w:sz w:val="28"/>
          <w:szCs w:val="28"/>
        </w:rPr>
        <w:t>MEASURING LEARNING ACTIVITIES FOR 21</w:t>
      </w:r>
      <w:r w:rsidRPr="008B3D0E">
        <w:rPr>
          <w:rFonts w:ascii="Arial" w:eastAsia="Arial" w:hAnsi="Arial" w:cs="Arial"/>
          <w:b/>
          <w:bCs/>
          <w:spacing w:val="-1"/>
          <w:sz w:val="28"/>
          <w:szCs w:val="28"/>
          <w:vertAlign w:val="superscript"/>
        </w:rPr>
        <w:t>ST</w:t>
      </w:r>
      <w:r>
        <w:rPr>
          <w:rFonts w:ascii="Arial" w:eastAsia="Arial" w:hAnsi="Arial" w:cs="Arial"/>
          <w:b/>
          <w:bCs/>
          <w:spacing w:val="-1"/>
          <w:sz w:val="28"/>
          <w:szCs w:val="28"/>
        </w:rPr>
        <w:t xml:space="preserve"> CENTURY SKILLS</w:t>
      </w:r>
      <w:r w:rsidR="00C60001">
        <w:rPr>
          <w:rFonts w:ascii="Arial" w:eastAsia="Arial" w:hAnsi="Arial" w:cs="Arial"/>
          <w:b/>
          <w:bCs/>
          <w:spacing w:val="4"/>
          <w:sz w:val="28"/>
          <w:szCs w:val="28"/>
        </w:rPr>
        <w:t xml:space="preserve"> </w:t>
      </w:r>
      <w:r w:rsidR="00C60001">
        <w:rPr>
          <w:rFonts w:ascii="Arial" w:eastAsia="Arial" w:hAnsi="Arial" w:cs="Arial"/>
          <w:b/>
          <w:bCs/>
          <w:sz w:val="28"/>
          <w:szCs w:val="28"/>
        </w:rPr>
        <w:t>–</w:t>
      </w:r>
      <w:r w:rsidR="00C60001">
        <w:rPr>
          <w:rFonts w:ascii="Arial" w:eastAsia="Arial" w:hAnsi="Arial" w:cs="Arial"/>
          <w:b/>
          <w:bCs/>
          <w:spacing w:val="-2"/>
          <w:sz w:val="28"/>
          <w:szCs w:val="28"/>
        </w:rPr>
        <w:t xml:space="preserve"> </w:t>
      </w:r>
      <w:r>
        <w:rPr>
          <w:rFonts w:ascii="Arial" w:eastAsia="Arial" w:hAnsi="Arial" w:cs="Arial"/>
          <w:b/>
          <w:bCs/>
          <w:spacing w:val="-2"/>
          <w:sz w:val="28"/>
          <w:szCs w:val="28"/>
        </w:rPr>
        <w:t>Daniel Rorai</w:t>
      </w:r>
    </w:p>
    <w:p w:rsidR="00260C2A" w:rsidRDefault="00260C2A">
      <w:pPr>
        <w:spacing w:before="5"/>
        <w:rPr>
          <w:rFonts w:ascii="Arial" w:eastAsia="Arial" w:hAnsi="Arial" w:cs="Arial"/>
          <w:b/>
          <w:bCs/>
          <w:sz w:val="41"/>
          <w:szCs w:val="41"/>
        </w:rPr>
      </w:pPr>
    </w:p>
    <w:p w:rsidR="00260C2A" w:rsidRDefault="00C60001">
      <w:pPr>
        <w:pStyle w:val="Heading1"/>
        <w:rPr>
          <w:b w:val="0"/>
          <w:bCs w:val="0"/>
        </w:rPr>
      </w:pPr>
      <w:r>
        <w:t xml:space="preserve">Workshop </w:t>
      </w:r>
      <w:r>
        <w:rPr>
          <w:spacing w:val="-1"/>
        </w:rPr>
        <w:t>Description:</w:t>
      </w:r>
    </w:p>
    <w:p w:rsidR="00260C2A" w:rsidRDefault="00260C2A">
      <w:pPr>
        <w:spacing w:before="3"/>
        <w:rPr>
          <w:rFonts w:ascii="Arial" w:eastAsia="Arial" w:hAnsi="Arial" w:cs="Arial"/>
          <w:sz w:val="17"/>
          <w:szCs w:val="17"/>
        </w:rPr>
      </w:pPr>
    </w:p>
    <w:p w:rsidR="008B3D0E" w:rsidRDefault="008B3D0E" w:rsidP="008B3D0E">
      <w:pPr>
        <w:autoSpaceDE w:val="0"/>
        <w:autoSpaceDN w:val="0"/>
        <w:adjustRightInd w:val="0"/>
        <w:rPr>
          <w:rFonts w:cs="New-Baskerville-RomanA"/>
          <w:color w:val="292526"/>
        </w:rPr>
      </w:pPr>
      <w:r>
        <w:t>Are we preparing students for the demands of the 21</w:t>
      </w:r>
      <w:r w:rsidRPr="00E0608D">
        <w:rPr>
          <w:vertAlign w:val="superscript"/>
        </w:rPr>
        <w:t>st</w:t>
      </w:r>
      <w:r w:rsidR="00C42A36">
        <w:t xml:space="preserve"> c</w:t>
      </w:r>
      <w:r>
        <w:t xml:space="preserve">entury work force?  Information, technological, and media literacy; creative thinking; </w:t>
      </w:r>
      <w:r w:rsidR="00C42A36">
        <w:t>flexibility; and complex communication skills are a few of the skills identified as necessary for success in the 21</w:t>
      </w:r>
      <w:r w:rsidR="00C42A36" w:rsidRPr="00C42A36">
        <w:rPr>
          <w:vertAlign w:val="superscript"/>
        </w:rPr>
        <w:t>st</w:t>
      </w:r>
      <w:r w:rsidR="00C42A36">
        <w:t xml:space="preserve"> century work force.</w:t>
      </w:r>
      <w:r>
        <w:rPr>
          <w:rFonts w:cs="New-Baskerville-RomanA"/>
          <w:color w:val="292526"/>
        </w:rPr>
        <w:t xml:space="preserve">  The challenge of developing these skills in the educational setting </w:t>
      </w:r>
      <w:r w:rsidR="00C42A36">
        <w:rPr>
          <w:rFonts w:cs="New-Baskerville-RomanA"/>
          <w:color w:val="292526"/>
        </w:rPr>
        <w:t>requires</w:t>
      </w:r>
      <w:r>
        <w:rPr>
          <w:rFonts w:cs="New-Baskerville-RomanA"/>
          <w:color w:val="292526"/>
        </w:rPr>
        <w:t xml:space="preserve"> us to</w:t>
      </w:r>
      <w:r w:rsidR="00C42A36">
        <w:rPr>
          <w:rFonts w:cs="New-Baskerville-RomanA"/>
          <w:color w:val="292526"/>
        </w:rPr>
        <w:t xml:space="preserve"> carefully </w:t>
      </w:r>
      <w:r>
        <w:rPr>
          <w:rFonts w:cs="New-Baskerville-RomanA"/>
          <w:color w:val="292526"/>
        </w:rPr>
        <w:t>evaluate the learning activities we use in the classroom</w:t>
      </w:r>
      <w:r w:rsidR="00C42A36">
        <w:rPr>
          <w:rFonts w:cs="New-Baskerville-RomanA"/>
          <w:color w:val="292526"/>
        </w:rPr>
        <w:t>.  How can we be confident that the learning activities we design provide the experience for students to develop these advanced skills?</w:t>
      </w:r>
    </w:p>
    <w:p w:rsidR="008B3D0E" w:rsidRDefault="008B3D0E" w:rsidP="008B3D0E">
      <w:pPr>
        <w:autoSpaceDE w:val="0"/>
        <w:autoSpaceDN w:val="0"/>
        <w:adjustRightInd w:val="0"/>
        <w:rPr>
          <w:rFonts w:cs="New-Baskerville-RomanA"/>
          <w:color w:val="292526"/>
        </w:rPr>
      </w:pPr>
    </w:p>
    <w:p w:rsidR="008B3D0E" w:rsidRDefault="008B3D0E" w:rsidP="008B3D0E">
      <w:pPr>
        <w:autoSpaceDE w:val="0"/>
        <w:autoSpaceDN w:val="0"/>
        <w:adjustRightInd w:val="0"/>
        <w:rPr>
          <w:rFonts w:cs="New-Baskerville-RomanA"/>
          <w:color w:val="292526"/>
        </w:rPr>
      </w:pPr>
      <w:r>
        <w:rPr>
          <w:rFonts w:cs="New-Baskerville-RomanA"/>
          <w:color w:val="292526"/>
        </w:rPr>
        <w:t>In this session, we will explore a framework to assess the degree to which our learning activities encourage the development of 21</w:t>
      </w:r>
      <w:r w:rsidRPr="000A05EB">
        <w:rPr>
          <w:rFonts w:cs="New-Baskerville-RomanA"/>
          <w:color w:val="292526"/>
          <w:vertAlign w:val="superscript"/>
        </w:rPr>
        <w:t>st</w:t>
      </w:r>
      <w:r>
        <w:rPr>
          <w:rFonts w:cs="New-Baskerville-RomanA"/>
          <w:color w:val="292526"/>
        </w:rPr>
        <w:t xml:space="preserve"> work skills.  The 21CLD Learning Activity Rubrics, developed by ITL Research and SRI International, provides a mechanism to numerically assess our prepared learning activities against six essential criteria – collaboration, knowledge construction, use of technology for learning, self-regulation, skilled communication, and real world problem solving/innovation. The use of activity rubrics allows us to fine-tune learning activities to ensure they meet outcomes, and they provide a solid foundation for the development of student assessment instruments.  Participants will examine various classroom learning scenarios for indications of the presence of the essential rubric criteria and then practice applying the rubrics to a sample learning activity.  </w:t>
      </w:r>
    </w:p>
    <w:p w:rsidR="008B3D0E" w:rsidRDefault="008B3D0E">
      <w:pPr>
        <w:spacing w:before="3"/>
        <w:rPr>
          <w:rFonts w:ascii="Arial" w:eastAsia="Arial" w:hAnsi="Arial" w:cs="Arial"/>
          <w:sz w:val="17"/>
          <w:szCs w:val="17"/>
        </w:rPr>
      </w:pPr>
    </w:p>
    <w:p w:rsidR="008B3D0E" w:rsidRDefault="008B3D0E">
      <w:pPr>
        <w:spacing w:before="3"/>
        <w:rPr>
          <w:rFonts w:ascii="Arial" w:eastAsia="Arial" w:hAnsi="Arial" w:cs="Arial"/>
          <w:sz w:val="17"/>
          <w:szCs w:val="17"/>
        </w:rPr>
      </w:pPr>
    </w:p>
    <w:p w:rsidR="00260C2A" w:rsidRDefault="00C60001">
      <w:pPr>
        <w:pStyle w:val="Heading1"/>
        <w:rPr>
          <w:b w:val="0"/>
          <w:bCs w:val="0"/>
        </w:rPr>
      </w:pPr>
      <w:r>
        <w:t xml:space="preserve">Learning </w:t>
      </w:r>
      <w:r>
        <w:rPr>
          <w:spacing w:val="-1"/>
        </w:rPr>
        <w:t>Outcomes:</w:t>
      </w:r>
    </w:p>
    <w:p w:rsidR="00260C2A" w:rsidRDefault="00260C2A">
      <w:pPr>
        <w:spacing w:before="11"/>
        <w:rPr>
          <w:rFonts w:ascii="Arial" w:eastAsia="Arial" w:hAnsi="Arial" w:cs="Arial"/>
          <w:b/>
          <w:bCs/>
          <w:sz w:val="23"/>
          <w:szCs w:val="23"/>
        </w:rPr>
      </w:pPr>
    </w:p>
    <w:p w:rsidR="00260C2A" w:rsidRDefault="00C60001">
      <w:pPr>
        <w:pStyle w:val="BodyText"/>
      </w:pPr>
      <w:r>
        <w:rPr>
          <w:spacing w:val="-1"/>
        </w:rPr>
        <w:t>Through</w:t>
      </w:r>
      <w:r>
        <w:t xml:space="preserve"> </w:t>
      </w:r>
      <w:r>
        <w:rPr>
          <w:spacing w:val="-2"/>
        </w:rPr>
        <w:t>active</w:t>
      </w:r>
      <w:r>
        <w:t xml:space="preserve"> </w:t>
      </w:r>
      <w:r>
        <w:rPr>
          <w:spacing w:val="-1"/>
        </w:rPr>
        <w:t>engagement</w:t>
      </w:r>
      <w:r>
        <w:rPr>
          <w:spacing w:val="2"/>
        </w:rPr>
        <w:t xml:space="preserve"> </w:t>
      </w:r>
      <w:r>
        <w:rPr>
          <w:spacing w:val="-1"/>
        </w:rPr>
        <w:t>in</w:t>
      </w:r>
      <w:r>
        <w:rPr>
          <w:spacing w:val="-2"/>
        </w:rPr>
        <w:t xml:space="preserve"> </w:t>
      </w:r>
      <w:r>
        <w:rPr>
          <w:spacing w:val="-1"/>
        </w:rPr>
        <w:t>this</w:t>
      </w:r>
      <w:r>
        <w:rPr>
          <w:spacing w:val="1"/>
        </w:rPr>
        <w:t xml:space="preserve"> </w:t>
      </w:r>
      <w:r>
        <w:rPr>
          <w:spacing w:val="-1"/>
        </w:rPr>
        <w:t>workshop, participants</w:t>
      </w:r>
      <w:r>
        <w:rPr>
          <w:spacing w:val="1"/>
        </w:rPr>
        <w:t xml:space="preserve"> </w:t>
      </w:r>
      <w:r>
        <w:rPr>
          <w:spacing w:val="-2"/>
        </w:rPr>
        <w:t>will:</w:t>
      </w:r>
    </w:p>
    <w:p w:rsidR="00260C2A" w:rsidRDefault="00260C2A">
      <w:pPr>
        <w:spacing w:before="10"/>
        <w:rPr>
          <w:rFonts w:ascii="Arial" w:eastAsia="Arial" w:hAnsi="Arial" w:cs="Arial"/>
          <w:sz w:val="25"/>
          <w:szCs w:val="25"/>
        </w:rPr>
      </w:pPr>
    </w:p>
    <w:p w:rsidR="00260C2A" w:rsidRPr="00BE4077" w:rsidRDefault="005356EB">
      <w:pPr>
        <w:pStyle w:val="BodyText"/>
        <w:numPr>
          <w:ilvl w:val="0"/>
          <w:numId w:val="1"/>
        </w:numPr>
        <w:tabs>
          <w:tab w:val="left" w:pos="821"/>
        </w:tabs>
        <w:spacing w:before="17" w:line="252" w:lineRule="exact"/>
        <w:ind w:right="280"/>
      </w:pPr>
      <w:r>
        <w:rPr>
          <w:spacing w:val="-1"/>
        </w:rPr>
        <w:t xml:space="preserve">Recognize the differences between </w:t>
      </w:r>
      <w:r w:rsidR="00BE4077">
        <w:rPr>
          <w:spacing w:val="-1"/>
        </w:rPr>
        <w:t>20</w:t>
      </w:r>
      <w:r w:rsidR="00BE4077" w:rsidRPr="00BE4077">
        <w:rPr>
          <w:spacing w:val="-1"/>
          <w:vertAlign w:val="superscript"/>
        </w:rPr>
        <w:t>th</w:t>
      </w:r>
      <w:r w:rsidR="00BE4077">
        <w:rPr>
          <w:spacing w:val="-1"/>
        </w:rPr>
        <w:t xml:space="preserve"> and 21</w:t>
      </w:r>
      <w:r w:rsidR="00BE4077" w:rsidRPr="00BE4077">
        <w:rPr>
          <w:spacing w:val="-1"/>
          <w:vertAlign w:val="superscript"/>
        </w:rPr>
        <w:t>st</w:t>
      </w:r>
      <w:r w:rsidR="00BE4077">
        <w:rPr>
          <w:spacing w:val="-1"/>
        </w:rPr>
        <w:t xml:space="preserve"> century learning skills.</w:t>
      </w:r>
    </w:p>
    <w:p w:rsidR="00BE4077" w:rsidRPr="00BE4077" w:rsidRDefault="00BE4077">
      <w:pPr>
        <w:pStyle w:val="BodyText"/>
        <w:numPr>
          <w:ilvl w:val="0"/>
          <w:numId w:val="1"/>
        </w:numPr>
        <w:tabs>
          <w:tab w:val="left" w:pos="821"/>
        </w:tabs>
        <w:spacing w:before="17" w:line="252" w:lineRule="exact"/>
        <w:ind w:right="280"/>
      </w:pPr>
      <w:r>
        <w:rPr>
          <w:spacing w:val="-1"/>
        </w:rPr>
        <w:t>Develop a working definition for “active learning”</w:t>
      </w:r>
      <w:r w:rsidR="005356EB">
        <w:rPr>
          <w:spacing w:val="-1"/>
        </w:rPr>
        <w:t xml:space="preserve"> to guide the development of effective learning activities</w:t>
      </w:r>
      <w:r>
        <w:rPr>
          <w:spacing w:val="-1"/>
        </w:rPr>
        <w:t>.</w:t>
      </w:r>
    </w:p>
    <w:p w:rsidR="00BE4077" w:rsidRDefault="00BE4077">
      <w:pPr>
        <w:pStyle w:val="BodyText"/>
        <w:numPr>
          <w:ilvl w:val="0"/>
          <w:numId w:val="1"/>
        </w:numPr>
        <w:tabs>
          <w:tab w:val="left" w:pos="821"/>
        </w:tabs>
        <w:spacing w:before="17" w:line="252" w:lineRule="exact"/>
        <w:ind w:right="280"/>
      </w:pPr>
      <w:r>
        <w:t xml:space="preserve">Identify the six criteria and associated levels of competency </w:t>
      </w:r>
      <w:r w:rsidR="005356EB">
        <w:t>for 21</w:t>
      </w:r>
      <w:r w:rsidR="005356EB" w:rsidRPr="005356EB">
        <w:rPr>
          <w:vertAlign w:val="superscript"/>
        </w:rPr>
        <w:t>st</w:t>
      </w:r>
      <w:r w:rsidR="005356EB">
        <w:t xml:space="preserve"> Century Learning Activity Rubrics.</w:t>
      </w:r>
    </w:p>
    <w:p w:rsidR="005356EB" w:rsidRDefault="0059327C">
      <w:pPr>
        <w:pStyle w:val="BodyText"/>
        <w:numPr>
          <w:ilvl w:val="0"/>
          <w:numId w:val="1"/>
        </w:numPr>
        <w:tabs>
          <w:tab w:val="left" w:pos="821"/>
        </w:tabs>
        <w:spacing w:before="17" w:line="252" w:lineRule="exact"/>
        <w:ind w:right="280"/>
      </w:pPr>
      <w:r>
        <w:t>Examine classroom learning activities for indicators of rubric criteria.</w:t>
      </w:r>
    </w:p>
    <w:p w:rsidR="0059327C" w:rsidRDefault="0059327C">
      <w:pPr>
        <w:pStyle w:val="BodyText"/>
        <w:numPr>
          <w:ilvl w:val="0"/>
          <w:numId w:val="1"/>
        </w:numPr>
        <w:tabs>
          <w:tab w:val="left" w:pos="821"/>
        </w:tabs>
        <w:spacing w:before="17" w:line="252" w:lineRule="exact"/>
        <w:ind w:right="280"/>
      </w:pPr>
      <w:r>
        <w:t>Apply 21</w:t>
      </w:r>
      <w:r w:rsidRPr="0059327C">
        <w:rPr>
          <w:vertAlign w:val="superscript"/>
        </w:rPr>
        <w:t>st</w:t>
      </w:r>
      <w:r>
        <w:t xml:space="preserve"> Century Learning Activity Rubrics to learning activities.</w:t>
      </w:r>
    </w:p>
    <w:p w:rsidR="00260C2A" w:rsidRDefault="00260C2A">
      <w:pPr>
        <w:spacing w:before="7"/>
        <w:rPr>
          <w:rFonts w:ascii="Arial" w:eastAsia="Arial" w:hAnsi="Arial" w:cs="Arial"/>
          <w:sz w:val="23"/>
          <w:szCs w:val="23"/>
        </w:rPr>
      </w:pPr>
    </w:p>
    <w:p w:rsidR="00260C2A" w:rsidRDefault="00C60001">
      <w:pPr>
        <w:ind w:left="100"/>
        <w:rPr>
          <w:rFonts w:ascii="Arial" w:eastAsia="Arial" w:hAnsi="Arial" w:cs="Arial"/>
        </w:rPr>
      </w:pPr>
      <w:r>
        <w:rPr>
          <w:rFonts w:ascii="Arial"/>
          <w:b/>
          <w:spacing w:val="-1"/>
          <w:sz w:val="24"/>
        </w:rPr>
        <w:t>Facilitator:</w:t>
      </w:r>
      <w:r>
        <w:rPr>
          <w:rFonts w:ascii="Arial"/>
          <w:b/>
          <w:spacing w:val="2"/>
          <w:sz w:val="24"/>
        </w:rPr>
        <w:t xml:space="preserve"> </w:t>
      </w:r>
      <w:r w:rsidR="0059327C">
        <w:rPr>
          <w:rFonts w:ascii="Arial"/>
          <w:spacing w:val="-1"/>
        </w:rPr>
        <w:t>Daniel Rorai, St. Clair College</w:t>
      </w:r>
    </w:p>
    <w:p w:rsidR="00260C2A" w:rsidRDefault="00C60001">
      <w:pPr>
        <w:ind w:left="100"/>
        <w:rPr>
          <w:rFonts w:ascii="Arial" w:eastAsia="Arial" w:hAnsi="Arial" w:cs="Arial"/>
        </w:rPr>
      </w:pPr>
      <w:r>
        <w:rPr>
          <w:rFonts w:ascii="Arial"/>
          <w:b/>
          <w:sz w:val="24"/>
        </w:rPr>
        <w:t>For more</w:t>
      </w:r>
      <w:r>
        <w:rPr>
          <w:rFonts w:ascii="Arial"/>
          <w:b/>
          <w:spacing w:val="1"/>
          <w:sz w:val="24"/>
        </w:rPr>
        <w:t xml:space="preserve"> </w:t>
      </w:r>
      <w:r>
        <w:rPr>
          <w:rFonts w:ascii="Arial"/>
          <w:b/>
          <w:spacing w:val="-1"/>
          <w:sz w:val="24"/>
        </w:rPr>
        <w:t>information</w:t>
      </w:r>
      <w:r>
        <w:rPr>
          <w:rFonts w:ascii="Arial"/>
          <w:spacing w:val="-1"/>
          <w:sz w:val="24"/>
        </w:rPr>
        <w:t>:</w:t>
      </w:r>
      <w:r>
        <w:rPr>
          <w:rFonts w:ascii="Arial"/>
          <w:sz w:val="24"/>
        </w:rPr>
        <w:t xml:space="preserve"> </w:t>
      </w:r>
      <w:hyperlink r:id="rId6" w:history="1">
        <w:r w:rsidR="0059327C" w:rsidRPr="0044051E">
          <w:rPr>
            <w:rStyle w:val="Hyperlink"/>
            <w:rFonts w:ascii="Arial"/>
            <w:spacing w:val="-1"/>
          </w:rPr>
          <w:t>drorai@stclaircollege.ca</w:t>
        </w:r>
      </w:hyperlink>
    </w:p>
    <w:p w:rsidR="00260C2A" w:rsidRDefault="00260C2A">
      <w:pPr>
        <w:rPr>
          <w:rFonts w:ascii="Arial" w:eastAsia="Arial" w:hAnsi="Arial" w:cs="Arial"/>
          <w:sz w:val="24"/>
          <w:szCs w:val="24"/>
        </w:rPr>
      </w:pPr>
    </w:p>
    <w:p w:rsidR="00260C2A" w:rsidRDefault="00C60001">
      <w:pPr>
        <w:pStyle w:val="Heading1"/>
        <w:spacing w:before="202"/>
        <w:rPr>
          <w:b w:val="0"/>
          <w:bCs w:val="0"/>
        </w:rPr>
      </w:pPr>
      <w:r>
        <w:rPr>
          <w:spacing w:val="-1"/>
        </w:rPr>
        <w:t>Resources:</w:t>
      </w:r>
    </w:p>
    <w:p w:rsidR="00260C2A" w:rsidRDefault="00260C2A">
      <w:pPr>
        <w:spacing w:before="11"/>
        <w:rPr>
          <w:rFonts w:ascii="Arial" w:eastAsia="Arial" w:hAnsi="Arial" w:cs="Arial"/>
          <w:b/>
          <w:bCs/>
          <w:sz w:val="23"/>
          <w:szCs w:val="23"/>
        </w:rPr>
      </w:pPr>
    </w:p>
    <w:p w:rsidR="00C15317" w:rsidRPr="00C15317" w:rsidRDefault="00685163" w:rsidP="00917425">
      <w:pPr>
        <w:spacing w:before="11"/>
        <w:ind w:left="360"/>
        <w:rPr>
          <w:rFonts w:ascii="Arial" w:eastAsia="Arial" w:hAnsi="Arial" w:cs="Arial"/>
          <w:bCs/>
          <w:sz w:val="23"/>
          <w:szCs w:val="23"/>
        </w:rPr>
      </w:pPr>
      <w:hyperlink r:id="rId7" w:history="1">
        <w:r w:rsidR="00C15317" w:rsidRPr="00C15317">
          <w:rPr>
            <w:rStyle w:val="Hyperlink"/>
            <w:rFonts w:ascii="Arial" w:eastAsia="Arial" w:hAnsi="Arial" w:cs="Arial"/>
            <w:bCs/>
            <w:sz w:val="23"/>
            <w:szCs w:val="23"/>
          </w:rPr>
          <w:t>21</w:t>
        </w:r>
        <w:r w:rsidR="00C15317" w:rsidRPr="00C15317">
          <w:rPr>
            <w:rStyle w:val="Hyperlink"/>
            <w:rFonts w:ascii="Arial" w:eastAsia="Arial" w:hAnsi="Arial" w:cs="Arial"/>
            <w:bCs/>
            <w:sz w:val="23"/>
            <w:szCs w:val="23"/>
            <w:vertAlign w:val="superscript"/>
          </w:rPr>
          <w:t>st</w:t>
        </w:r>
        <w:r w:rsidR="00C15317" w:rsidRPr="00C15317">
          <w:rPr>
            <w:rStyle w:val="Hyperlink"/>
            <w:rFonts w:ascii="Arial" w:eastAsia="Arial" w:hAnsi="Arial" w:cs="Arial"/>
            <w:bCs/>
            <w:sz w:val="23"/>
            <w:szCs w:val="23"/>
          </w:rPr>
          <w:t xml:space="preserve"> CLD Learning Activity Rubrics</w:t>
        </w:r>
      </w:hyperlink>
      <w:r w:rsidR="00C15317">
        <w:rPr>
          <w:rFonts w:ascii="Arial" w:eastAsia="Arial" w:hAnsi="Arial" w:cs="Arial"/>
          <w:bCs/>
          <w:sz w:val="23"/>
          <w:szCs w:val="23"/>
        </w:rPr>
        <w:t>. (</w:t>
      </w:r>
      <w:proofErr w:type="spellStart"/>
      <w:r w:rsidR="00C15317">
        <w:rPr>
          <w:rFonts w:ascii="Arial" w:eastAsia="Arial" w:hAnsi="Arial" w:cs="Arial"/>
          <w:bCs/>
          <w:sz w:val="23"/>
          <w:szCs w:val="23"/>
        </w:rPr>
        <w:t>n.d.</w:t>
      </w:r>
      <w:proofErr w:type="spellEnd"/>
      <w:r w:rsidR="00C15317">
        <w:rPr>
          <w:rFonts w:ascii="Arial" w:eastAsia="Arial" w:hAnsi="Arial" w:cs="Arial"/>
          <w:bCs/>
          <w:sz w:val="23"/>
          <w:szCs w:val="23"/>
        </w:rPr>
        <w:t>). Microsoft Partners in Learning, 21</w:t>
      </w:r>
      <w:r w:rsidR="00C15317" w:rsidRPr="00C15317">
        <w:rPr>
          <w:rFonts w:ascii="Arial" w:eastAsia="Arial" w:hAnsi="Arial" w:cs="Arial"/>
          <w:bCs/>
          <w:sz w:val="23"/>
          <w:szCs w:val="23"/>
          <w:vertAlign w:val="superscript"/>
        </w:rPr>
        <w:t>st</w:t>
      </w:r>
      <w:r w:rsidR="00C15317">
        <w:rPr>
          <w:rFonts w:ascii="Arial" w:eastAsia="Arial" w:hAnsi="Arial" w:cs="Arial"/>
          <w:bCs/>
          <w:sz w:val="23"/>
          <w:szCs w:val="23"/>
        </w:rPr>
        <w:t xml:space="preserve"> Century Learning Design</w:t>
      </w:r>
    </w:p>
    <w:p w:rsidR="00C15317" w:rsidRDefault="00C15317" w:rsidP="00917425">
      <w:pPr>
        <w:spacing w:before="11"/>
        <w:ind w:left="360"/>
        <w:rPr>
          <w:rFonts w:ascii="Arial" w:eastAsia="Arial" w:hAnsi="Arial" w:cs="Arial"/>
          <w:bCs/>
          <w:sz w:val="23"/>
          <w:szCs w:val="23"/>
        </w:rPr>
      </w:pPr>
    </w:p>
    <w:p w:rsidR="00C60001" w:rsidRDefault="00C60001" w:rsidP="00917425">
      <w:pPr>
        <w:spacing w:before="11"/>
        <w:ind w:left="360"/>
        <w:rPr>
          <w:rFonts w:ascii="Arial" w:eastAsia="Arial" w:hAnsi="Arial" w:cs="Arial"/>
          <w:bCs/>
          <w:sz w:val="23"/>
          <w:szCs w:val="23"/>
        </w:rPr>
      </w:pPr>
    </w:p>
    <w:p w:rsidR="00CB79E7" w:rsidRPr="00917425" w:rsidRDefault="00917425" w:rsidP="00917425">
      <w:pPr>
        <w:spacing w:before="11"/>
        <w:ind w:left="360"/>
        <w:rPr>
          <w:rFonts w:ascii="Arial" w:eastAsia="Arial" w:hAnsi="Arial" w:cs="Arial"/>
          <w:bCs/>
          <w:sz w:val="23"/>
          <w:szCs w:val="23"/>
        </w:rPr>
      </w:pPr>
      <w:proofErr w:type="spellStart"/>
      <w:r w:rsidRPr="00917425">
        <w:rPr>
          <w:rFonts w:ascii="Arial" w:eastAsia="Arial" w:hAnsi="Arial" w:cs="Arial"/>
          <w:bCs/>
          <w:sz w:val="23"/>
          <w:szCs w:val="23"/>
        </w:rPr>
        <w:lastRenderedPageBreak/>
        <w:t>Bonwell</w:t>
      </w:r>
      <w:proofErr w:type="spellEnd"/>
      <w:r w:rsidRPr="00917425">
        <w:rPr>
          <w:rFonts w:ascii="Arial" w:eastAsia="Arial" w:hAnsi="Arial" w:cs="Arial"/>
          <w:bCs/>
          <w:sz w:val="23"/>
          <w:szCs w:val="23"/>
        </w:rPr>
        <w:t xml:space="preserve">, C. C., &amp; </w:t>
      </w:r>
      <w:proofErr w:type="spellStart"/>
      <w:r w:rsidRPr="00917425">
        <w:rPr>
          <w:rFonts w:ascii="Arial" w:eastAsia="Arial" w:hAnsi="Arial" w:cs="Arial"/>
          <w:bCs/>
          <w:sz w:val="23"/>
          <w:szCs w:val="23"/>
        </w:rPr>
        <w:t>Eison</w:t>
      </w:r>
      <w:proofErr w:type="spellEnd"/>
      <w:r w:rsidRPr="00917425">
        <w:rPr>
          <w:rFonts w:ascii="Arial" w:eastAsia="Arial" w:hAnsi="Arial" w:cs="Arial"/>
          <w:bCs/>
          <w:sz w:val="23"/>
          <w:szCs w:val="23"/>
        </w:rPr>
        <w:t xml:space="preserve">, J. A. (1991). </w:t>
      </w:r>
      <w:hyperlink r:id="rId8" w:history="1">
        <w:r w:rsidRPr="00917425">
          <w:rPr>
            <w:rStyle w:val="Hyperlink"/>
            <w:rFonts w:ascii="Arial" w:eastAsia="Arial" w:hAnsi="Arial" w:cs="Arial"/>
            <w:bCs/>
            <w:sz w:val="23"/>
            <w:szCs w:val="23"/>
          </w:rPr>
          <w:t>Active Learning: Creating Excitement in the Classroom</w:t>
        </w:r>
      </w:hyperlink>
      <w:r w:rsidRPr="00917425">
        <w:rPr>
          <w:rFonts w:ascii="Arial" w:eastAsia="Arial" w:hAnsi="Arial" w:cs="Arial"/>
          <w:bCs/>
          <w:sz w:val="23"/>
          <w:szCs w:val="23"/>
        </w:rPr>
        <w:t>. ASHE-ERIC Higher Education Report No.1. Washington, DC: George Washington University.</w:t>
      </w:r>
    </w:p>
    <w:p w:rsidR="00917425" w:rsidRPr="00917425" w:rsidRDefault="00917425" w:rsidP="00917425">
      <w:pPr>
        <w:spacing w:before="11"/>
        <w:ind w:left="360"/>
        <w:rPr>
          <w:rFonts w:ascii="Arial" w:eastAsia="Arial" w:hAnsi="Arial" w:cs="Arial"/>
          <w:bCs/>
          <w:sz w:val="23"/>
          <w:szCs w:val="23"/>
        </w:rPr>
      </w:pPr>
    </w:p>
    <w:p w:rsidR="00CB79E7" w:rsidRDefault="00917425" w:rsidP="00917425">
      <w:pPr>
        <w:spacing w:before="11"/>
        <w:ind w:left="360"/>
        <w:rPr>
          <w:rFonts w:ascii="Arial" w:eastAsia="Arial" w:hAnsi="Arial" w:cs="Arial"/>
          <w:bCs/>
          <w:sz w:val="23"/>
          <w:szCs w:val="23"/>
        </w:rPr>
      </w:pPr>
      <w:r w:rsidRPr="00917425">
        <w:rPr>
          <w:rFonts w:ascii="Arial" w:eastAsia="Arial" w:hAnsi="Arial" w:cs="Arial"/>
          <w:bCs/>
          <w:sz w:val="23"/>
          <w:szCs w:val="23"/>
        </w:rPr>
        <w:t xml:space="preserve">Freeman, S., et al. (2014) </w:t>
      </w:r>
      <w:hyperlink r:id="rId9" w:history="1">
        <w:r w:rsidR="00C60001" w:rsidRPr="00917425">
          <w:rPr>
            <w:rStyle w:val="Hyperlink"/>
            <w:rFonts w:ascii="Arial" w:eastAsia="Arial" w:hAnsi="Arial" w:cs="Arial"/>
            <w:bCs/>
            <w:sz w:val="23"/>
            <w:szCs w:val="23"/>
          </w:rPr>
          <w:t>Active learning increases student performance in science, engineering, and mathematics</w:t>
        </w:r>
      </w:hyperlink>
      <w:r w:rsidRPr="00917425">
        <w:rPr>
          <w:rFonts w:ascii="Arial" w:eastAsia="Arial" w:hAnsi="Arial" w:cs="Arial"/>
          <w:bCs/>
          <w:sz w:val="23"/>
          <w:szCs w:val="23"/>
        </w:rPr>
        <w:t>. PNAS.</w:t>
      </w:r>
    </w:p>
    <w:p w:rsidR="00917425" w:rsidRPr="00917425" w:rsidRDefault="00917425" w:rsidP="00917425">
      <w:pPr>
        <w:spacing w:before="11"/>
        <w:ind w:left="360"/>
        <w:rPr>
          <w:rFonts w:ascii="Arial" w:eastAsia="Arial" w:hAnsi="Arial" w:cs="Arial"/>
          <w:bCs/>
          <w:sz w:val="23"/>
          <w:szCs w:val="23"/>
        </w:rPr>
      </w:pPr>
    </w:p>
    <w:p w:rsidR="00CB79E7" w:rsidRPr="00917425" w:rsidRDefault="00917425" w:rsidP="00917425">
      <w:pPr>
        <w:spacing w:before="11"/>
        <w:ind w:left="360"/>
        <w:rPr>
          <w:rFonts w:ascii="Arial" w:eastAsia="Arial" w:hAnsi="Arial" w:cs="Arial"/>
          <w:bCs/>
          <w:sz w:val="23"/>
          <w:szCs w:val="23"/>
        </w:rPr>
      </w:pPr>
      <w:r w:rsidRPr="00917425">
        <w:rPr>
          <w:rFonts w:ascii="Arial" w:eastAsia="Arial" w:hAnsi="Arial" w:cs="Arial"/>
          <w:bCs/>
          <w:sz w:val="23"/>
          <w:szCs w:val="23"/>
        </w:rPr>
        <w:t xml:space="preserve">Millis, B.J. (N.D.). </w:t>
      </w:r>
      <w:hyperlink r:id="rId10" w:history="1">
        <w:r w:rsidR="00C60001" w:rsidRPr="00917425">
          <w:rPr>
            <w:rStyle w:val="Hyperlink"/>
            <w:rFonts w:ascii="Arial" w:eastAsia="Arial" w:hAnsi="Arial" w:cs="Arial"/>
            <w:bCs/>
            <w:sz w:val="23"/>
            <w:szCs w:val="23"/>
          </w:rPr>
          <w:t xml:space="preserve">Active learning strategies in face-to-face </w:t>
        </w:r>
      </w:hyperlink>
      <w:hyperlink r:id="rId11" w:history="1">
        <w:r w:rsidR="00C60001" w:rsidRPr="00917425">
          <w:rPr>
            <w:rStyle w:val="Hyperlink"/>
            <w:rFonts w:ascii="Arial" w:eastAsia="Arial" w:hAnsi="Arial" w:cs="Arial"/>
            <w:bCs/>
            <w:sz w:val="23"/>
            <w:szCs w:val="23"/>
          </w:rPr>
          <w:t>c</w:t>
        </w:r>
      </w:hyperlink>
      <w:hyperlink r:id="rId12" w:history="1">
        <w:r w:rsidR="00C60001" w:rsidRPr="00917425">
          <w:rPr>
            <w:rStyle w:val="Hyperlink"/>
            <w:rFonts w:ascii="Arial" w:eastAsia="Arial" w:hAnsi="Arial" w:cs="Arial"/>
            <w:bCs/>
            <w:sz w:val="23"/>
            <w:szCs w:val="23"/>
          </w:rPr>
          <w:t>ourses</w:t>
        </w:r>
      </w:hyperlink>
      <w:r w:rsidRPr="00917425">
        <w:rPr>
          <w:rFonts w:ascii="Arial" w:eastAsia="Arial" w:hAnsi="Arial" w:cs="Arial"/>
          <w:bCs/>
          <w:sz w:val="23"/>
          <w:szCs w:val="23"/>
        </w:rPr>
        <w:t>. The Idea Center, University of Texas at San Antonio.</w:t>
      </w:r>
    </w:p>
    <w:p w:rsidR="00917425" w:rsidRDefault="00917425" w:rsidP="00917425">
      <w:pPr>
        <w:spacing w:before="11"/>
        <w:ind w:left="360"/>
        <w:rPr>
          <w:rFonts w:ascii="Arial" w:eastAsia="Arial" w:hAnsi="Arial" w:cs="Arial"/>
          <w:bCs/>
          <w:sz w:val="23"/>
          <w:szCs w:val="23"/>
        </w:rPr>
      </w:pPr>
    </w:p>
    <w:p w:rsidR="00C15317" w:rsidRPr="00C15317" w:rsidRDefault="00C15317" w:rsidP="00917425">
      <w:pPr>
        <w:spacing w:before="11"/>
        <w:ind w:left="360"/>
        <w:rPr>
          <w:rFonts w:ascii="Arial" w:eastAsia="Arial" w:hAnsi="Arial" w:cs="Arial"/>
          <w:bCs/>
          <w:sz w:val="23"/>
          <w:szCs w:val="23"/>
        </w:rPr>
      </w:pPr>
      <w:r w:rsidRPr="00C15317">
        <w:rPr>
          <w:rFonts w:ascii="Arial" w:hAnsi="Arial" w:cs="Arial"/>
          <w:color w:val="333333"/>
          <w:sz w:val="21"/>
          <w:szCs w:val="21"/>
          <w:shd w:val="clear" w:color="auto" w:fill="FFFFFF"/>
        </w:rPr>
        <w:t xml:space="preserve">Mishra, P. &amp; </w:t>
      </w:r>
      <w:proofErr w:type="spellStart"/>
      <w:r w:rsidRPr="00C15317">
        <w:rPr>
          <w:rFonts w:ascii="Arial" w:hAnsi="Arial" w:cs="Arial"/>
          <w:color w:val="333333"/>
          <w:sz w:val="21"/>
          <w:szCs w:val="21"/>
          <w:shd w:val="clear" w:color="auto" w:fill="FFFFFF"/>
        </w:rPr>
        <w:t>Kereluik</w:t>
      </w:r>
      <w:proofErr w:type="spellEnd"/>
      <w:r w:rsidRPr="00C15317">
        <w:rPr>
          <w:rFonts w:ascii="Arial" w:hAnsi="Arial" w:cs="Arial"/>
          <w:color w:val="333333"/>
          <w:sz w:val="21"/>
          <w:szCs w:val="21"/>
          <w:shd w:val="clear" w:color="auto" w:fill="FFFFFF"/>
        </w:rPr>
        <w:t xml:space="preserve">, K. (2011). </w:t>
      </w:r>
      <w:hyperlink r:id="rId13" w:history="1">
        <w:r w:rsidRPr="00C15317">
          <w:rPr>
            <w:rStyle w:val="Hyperlink"/>
            <w:rFonts w:ascii="Arial" w:hAnsi="Arial" w:cs="Arial"/>
            <w:sz w:val="21"/>
            <w:szCs w:val="21"/>
            <w:shd w:val="clear" w:color="auto" w:fill="FFFFFF"/>
          </w:rPr>
          <w:t>What 21st Century Learning? A review and a synthesis</w:t>
        </w:r>
      </w:hyperlink>
      <w:r w:rsidRPr="00C15317">
        <w:rPr>
          <w:rFonts w:ascii="Arial" w:hAnsi="Arial" w:cs="Arial"/>
          <w:color w:val="333333"/>
          <w:sz w:val="21"/>
          <w:szCs w:val="21"/>
          <w:shd w:val="clear" w:color="auto" w:fill="FFFFFF"/>
        </w:rPr>
        <w:t>. In M. Koehler &amp; P. Mishra (Eds.)</w:t>
      </w:r>
      <w:proofErr w:type="gramStart"/>
      <w:r w:rsidRPr="00C15317">
        <w:rPr>
          <w:rFonts w:ascii="Arial" w:hAnsi="Arial" w:cs="Arial"/>
          <w:color w:val="333333"/>
          <w:sz w:val="21"/>
          <w:szCs w:val="21"/>
          <w:shd w:val="clear" w:color="auto" w:fill="FFFFFF"/>
        </w:rPr>
        <w:t>,</w:t>
      </w:r>
      <w:r w:rsidRPr="00C15317">
        <w:rPr>
          <w:rStyle w:val="HTMLCite"/>
          <w:rFonts w:ascii="Arial" w:hAnsi="Arial" w:cs="Arial"/>
          <w:color w:val="333333"/>
          <w:sz w:val="21"/>
          <w:szCs w:val="21"/>
          <w:shd w:val="clear" w:color="auto" w:fill="FFFFFF"/>
        </w:rPr>
        <w:t>Proceedings</w:t>
      </w:r>
      <w:proofErr w:type="gramEnd"/>
      <w:r w:rsidRPr="00C15317">
        <w:rPr>
          <w:rStyle w:val="HTMLCite"/>
          <w:rFonts w:ascii="Arial" w:hAnsi="Arial" w:cs="Arial"/>
          <w:color w:val="333333"/>
          <w:sz w:val="21"/>
          <w:szCs w:val="21"/>
          <w:shd w:val="clear" w:color="auto" w:fill="FFFFFF"/>
        </w:rPr>
        <w:t xml:space="preserve"> of Society for Information Technology &amp; Teacher Education International Conference 2011</w:t>
      </w:r>
      <w:r w:rsidRPr="00C15317">
        <w:rPr>
          <w:rStyle w:val="apple-converted-space"/>
          <w:rFonts w:ascii="Arial" w:hAnsi="Arial" w:cs="Arial"/>
          <w:color w:val="333333"/>
          <w:sz w:val="21"/>
          <w:szCs w:val="21"/>
          <w:shd w:val="clear" w:color="auto" w:fill="FFFFFF"/>
        </w:rPr>
        <w:t> </w:t>
      </w:r>
      <w:r w:rsidRPr="00C15317">
        <w:rPr>
          <w:rFonts w:ascii="Arial" w:hAnsi="Arial" w:cs="Arial"/>
          <w:color w:val="333333"/>
          <w:sz w:val="21"/>
          <w:szCs w:val="21"/>
          <w:shd w:val="clear" w:color="auto" w:fill="FFFFFF"/>
        </w:rPr>
        <w:t>(pp. 3301-3312). Chesapeake, VA: Association for the Advancement of Computing in Education (AACE).</w:t>
      </w:r>
    </w:p>
    <w:p w:rsidR="00C15317" w:rsidRPr="00C15317" w:rsidRDefault="00C15317" w:rsidP="00917425">
      <w:pPr>
        <w:spacing w:before="11"/>
        <w:ind w:left="360"/>
        <w:rPr>
          <w:rFonts w:ascii="Arial" w:eastAsia="Arial" w:hAnsi="Arial" w:cs="Arial"/>
          <w:bCs/>
          <w:sz w:val="23"/>
          <w:szCs w:val="23"/>
        </w:rPr>
      </w:pPr>
    </w:p>
    <w:p w:rsidR="00CB79E7" w:rsidRPr="00917425" w:rsidRDefault="00917425" w:rsidP="00917425">
      <w:pPr>
        <w:spacing w:before="11"/>
        <w:ind w:left="360"/>
        <w:rPr>
          <w:rFonts w:ascii="Arial" w:eastAsia="Arial" w:hAnsi="Arial" w:cs="Arial"/>
          <w:bCs/>
          <w:sz w:val="23"/>
          <w:szCs w:val="23"/>
        </w:rPr>
      </w:pPr>
      <w:r w:rsidRPr="00917425">
        <w:rPr>
          <w:rFonts w:ascii="Arial" w:eastAsia="Arial" w:hAnsi="Arial" w:cs="Arial"/>
          <w:bCs/>
          <w:sz w:val="23"/>
          <w:szCs w:val="23"/>
        </w:rPr>
        <w:t>R.M. Felder and R. Brent, </w:t>
      </w:r>
      <w:hyperlink r:id="rId14" w:history="1">
        <w:r w:rsidR="00C60001" w:rsidRPr="00917425">
          <w:rPr>
            <w:rStyle w:val="Hyperlink"/>
            <w:rFonts w:ascii="Arial" w:eastAsia="Arial" w:hAnsi="Arial" w:cs="Arial"/>
            <w:bCs/>
            <w:sz w:val="23"/>
            <w:szCs w:val="23"/>
          </w:rPr>
          <w:t>"Active Learning: An Introduction."</w:t>
        </w:r>
      </w:hyperlink>
      <w:r w:rsidRPr="00917425">
        <w:rPr>
          <w:rFonts w:ascii="Arial" w:eastAsia="Arial" w:hAnsi="Arial" w:cs="Arial"/>
          <w:bCs/>
          <w:sz w:val="23"/>
          <w:szCs w:val="23"/>
        </w:rPr>
        <w:t> </w:t>
      </w:r>
      <w:r w:rsidRPr="00917425">
        <w:rPr>
          <w:rFonts w:ascii="Arial" w:eastAsia="Arial" w:hAnsi="Arial" w:cs="Arial"/>
          <w:bCs/>
          <w:i/>
          <w:iCs/>
          <w:sz w:val="23"/>
          <w:szCs w:val="23"/>
        </w:rPr>
        <w:t>ASQ Higher Education Brief, 2</w:t>
      </w:r>
      <w:r w:rsidRPr="00917425">
        <w:rPr>
          <w:rFonts w:ascii="Arial" w:eastAsia="Arial" w:hAnsi="Arial" w:cs="Arial"/>
          <w:bCs/>
          <w:sz w:val="23"/>
          <w:szCs w:val="23"/>
        </w:rPr>
        <w:t>(4), August 2009. A short paper that defines active learning, gives examples of activities and formats, and answers frequently-asked questions about the method.</w:t>
      </w:r>
    </w:p>
    <w:p w:rsidR="0059327C" w:rsidRPr="00917425" w:rsidRDefault="0059327C">
      <w:pPr>
        <w:spacing w:before="11"/>
        <w:rPr>
          <w:rFonts w:ascii="Arial" w:eastAsia="Arial" w:hAnsi="Arial" w:cs="Arial"/>
          <w:bCs/>
          <w:sz w:val="23"/>
          <w:szCs w:val="23"/>
        </w:rPr>
      </w:pPr>
    </w:p>
    <w:sectPr w:rsidR="0059327C" w:rsidRPr="00917425" w:rsidSect="0059327C">
      <w:type w:val="continuous"/>
      <w:pgSz w:w="12240" w:h="15840"/>
      <w:pgMar w:top="12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Baskerville-Roma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20E3E"/>
    <w:multiLevelType w:val="hybridMultilevel"/>
    <w:tmpl w:val="093E005A"/>
    <w:lvl w:ilvl="0" w:tplc="DA0A41BE">
      <w:start w:val="1"/>
      <w:numFmt w:val="bullet"/>
      <w:lvlText w:val="•"/>
      <w:lvlJc w:val="left"/>
      <w:pPr>
        <w:tabs>
          <w:tab w:val="num" w:pos="720"/>
        </w:tabs>
        <w:ind w:left="720" w:hanging="360"/>
      </w:pPr>
      <w:rPr>
        <w:rFonts w:ascii="Arial" w:hAnsi="Arial" w:hint="default"/>
      </w:rPr>
    </w:lvl>
    <w:lvl w:ilvl="1" w:tplc="62442592" w:tentative="1">
      <w:start w:val="1"/>
      <w:numFmt w:val="bullet"/>
      <w:lvlText w:val="•"/>
      <w:lvlJc w:val="left"/>
      <w:pPr>
        <w:tabs>
          <w:tab w:val="num" w:pos="1440"/>
        </w:tabs>
        <w:ind w:left="1440" w:hanging="360"/>
      </w:pPr>
      <w:rPr>
        <w:rFonts w:ascii="Arial" w:hAnsi="Arial" w:hint="default"/>
      </w:rPr>
    </w:lvl>
    <w:lvl w:ilvl="2" w:tplc="A04E5F72" w:tentative="1">
      <w:start w:val="1"/>
      <w:numFmt w:val="bullet"/>
      <w:lvlText w:val="•"/>
      <w:lvlJc w:val="left"/>
      <w:pPr>
        <w:tabs>
          <w:tab w:val="num" w:pos="2160"/>
        </w:tabs>
        <w:ind w:left="2160" w:hanging="360"/>
      </w:pPr>
      <w:rPr>
        <w:rFonts w:ascii="Arial" w:hAnsi="Arial" w:hint="default"/>
      </w:rPr>
    </w:lvl>
    <w:lvl w:ilvl="3" w:tplc="10444988" w:tentative="1">
      <w:start w:val="1"/>
      <w:numFmt w:val="bullet"/>
      <w:lvlText w:val="•"/>
      <w:lvlJc w:val="left"/>
      <w:pPr>
        <w:tabs>
          <w:tab w:val="num" w:pos="2880"/>
        </w:tabs>
        <w:ind w:left="2880" w:hanging="360"/>
      </w:pPr>
      <w:rPr>
        <w:rFonts w:ascii="Arial" w:hAnsi="Arial" w:hint="default"/>
      </w:rPr>
    </w:lvl>
    <w:lvl w:ilvl="4" w:tplc="535A3D02" w:tentative="1">
      <w:start w:val="1"/>
      <w:numFmt w:val="bullet"/>
      <w:lvlText w:val="•"/>
      <w:lvlJc w:val="left"/>
      <w:pPr>
        <w:tabs>
          <w:tab w:val="num" w:pos="3600"/>
        </w:tabs>
        <w:ind w:left="3600" w:hanging="360"/>
      </w:pPr>
      <w:rPr>
        <w:rFonts w:ascii="Arial" w:hAnsi="Arial" w:hint="default"/>
      </w:rPr>
    </w:lvl>
    <w:lvl w:ilvl="5" w:tplc="0396CF32" w:tentative="1">
      <w:start w:val="1"/>
      <w:numFmt w:val="bullet"/>
      <w:lvlText w:val="•"/>
      <w:lvlJc w:val="left"/>
      <w:pPr>
        <w:tabs>
          <w:tab w:val="num" w:pos="4320"/>
        </w:tabs>
        <w:ind w:left="4320" w:hanging="360"/>
      </w:pPr>
      <w:rPr>
        <w:rFonts w:ascii="Arial" w:hAnsi="Arial" w:hint="default"/>
      </w:rPr>
    </w:lvl>
    <w:lvl w:ilvl="6" w:tplc="4DCA9DC2" w:tentative="1">
      <w:start w:val="1"/>
      <w:numFmt w:val="bullet"/>
      <w:lvlText w:val="•"/>
      <w:lvlJc w:val="left"/>
      <w:pPr>
        <w:tabs>
          <w:tab w:val="num" w:pos="5040"/>
        </w:tabs>
        <w:ind w:left="5040" w:hanging="360"/>
      </w:pPr>
      <w:rPr>
        <w:rFonts w:ascii="Arial" w:hAnsi="Arial" w:hint="default"/>
      </w:rPr>
    </w:lvl>
    <w:lvl w:ilvl="7" w:tplc="B45CACF8" w:tentative="1">
      <w:start w:val="1"/>
      <w:numFmt w:val="bullet"/>
      <w:lvlText w:val="•"/>
      <w:lvlJc w:val="left"/>
      <w:pPr>
        <w:tabs>
          <w:tab w:val="num" w:pos="5760"/>
        </w:tabs>
        <w:ind w:left="5760" w:hanging="360"/>
      </w:pPr>
      <w:rPr>
        <w:rFonts w:ascii="Arial" w:hAnsi="Arial" w:hint="default"/>
      </w:rPr>
    </w:lvl>
    <w:lvl w:ilvl="8" w:tplc="30A6A3A2" w:tentative="1">
      <w:start w:val="1"/>
      <w:numFmt w:val="bullet"/>
      <w:lvlText w:val="•"/>
      <w:lvlJc w:val="left"/>
      <w:pPr>
        <w:tabs>
          <w:tab w:val="num" w:pos="6480"/>
        </w:tabs>
        <w:ind w:left="6480" w:hanging="360"/>
      </w:pPr>
      <w:rPr>
        <w:rFonts w:ascii="Arial" w:hAnsi="Arial" w:hint="default"/>
      </w:rPr>
    </w:lvl>
  </w:abstractNum>
  <w:abstractNum w:abstractNumId="1">
    <w:nsid w:val="5FE92ADE"/>
    <w:multiLevelType w:val="hybridMultilevel"/>
    <w:tmpl w:val="9834A814"/>
    <w:lvl w:ilvl="0" w:tplc="7B7CB69A">
      <w:start w:val="1"/>
      <w:numFmt w:val="bullet"/>
      <w:lvlText w:val=""/>
      <w:lvlJc w:val="left"/>
      <w:pPr>
        <w:ind w:left="820" w:hanging="360"/>
      </w:pPr>
      <w:rPr>
        <w:rFonts w:ascii="Symbol" w:eastAsia="Symbol" w:hAnsi="Symbol" w:hint="default"/>
        <w:sz w:val="22"/>
        <w:szCs w:val="22"/>
      </w:rPr>
    </w:lvl>
    <w:lvl w:ilvl="1" w:tplc="B3EC0690">
      <w:start w:val="1"/>
      <w:numFmt w:val="bullet"/>
      <w:lvlText w:val="•"/>
      <w:lvlJc w:val="left"/>
      <w:pPr>
        <w:ind w:left="1696" w:hanging="360"/>
      </w:pPr>
      <w:rPr>
        <w:rFonts w:hint="default"/>
      </w:rPr>
    </w:lvl>
    <w:lvl w:ilvl="2" w:tplc="079AFD12">
      <w:start w:val="1"/>
      <w:numFmt w:val="bullet"/>
      <w:lvlText w:val="•"/>
      <w:lvlJc w:val="left"/>
      <w:pPr>
        <w:ind w:left="2572" w:hanging="360"/>
      </w:pPr>
      <w:rPr>
        <w:rFonts w:hint="default"/>
      </w:rPr>
    </w:lvl>
    <w:lvl w:ilvl="3" w:tplc="1E8E8616">
      <w:start w:val="1"/>
      <w:numFmt w:val="bullet"/>
      <w:lvlText w:val="•"/>
      <w:lvlJc w:val="left"/>
      <w:pPr>
        <w:ind w:left="3448" w:hanging="360"/>
      </w:pPr>
      <w:rPr>
        <w:rFonts w:hint="default"/>
      </w:rPr>
    </w:lvl>
    <w:lvl w:ilvl="4" w:tplc="81180A6E">
      <w:start w:val="1"/>
      <w:numFmt w:val="bullet"/>
      <w:lvlText w:val="•"/>
      <w:lvlJc w:val="left"/>
      <w:pPr>
        <w:ind w:left="4324" w:hanging="360"/>
      </w:pPr>
      <w:rPr>
        <w:rFonts w:hint="default"/>
      </w:rPr>
    </w:lvl>
    <w:lvl w:ilvl="5" w:tplc="A00430D6">
      <w:start w:val="1"/>
      <w:numFmt w:val="bullet"/>
      <w:lvlText w:val="•"/>
      <w:lvlJc w:val="left"/>
      <w:pPr>
        <w:ind w:left="5200" w:hanging="360"/>
      </w:pPr>
      <w:rPr>
        <w:rFonts w:hint="default"/>
      </w:rPr>
    </w:lvl>
    <w:lvl w:ilvl="6" w:tplc="D5FA5C06">
      <w:start w:val="1"/>
      <w:numFmt w:val="bullet"/>
      <w:lvlText w:val="•"/>
      <w:lvlJc w:val="left"/>
      <w:pPr>
        <w:ind w:left="6076" w:hanging="360"/>
      </w:pPr>
      <w:rPr>
        <w:rFonts w:hint="default"/>
      </w:rPr>
    </w:lvl>
    <w:lvl w:ilvl="7" w:tplc="C6F2E8C2">
      <w:start w:val="1"/>
      <w:numFmt w:val="bullet"/>
      <w:lvlText w:val="•"/>
      <w:lvlJc w:val="left"/>
      <w:pPr>
        <w:ind w:left="6952" w:hanging="360"/>
      </w:pPr>
      <w:rPr>
        <w:rFonts w:hint="default"/>
      </w:rPr>
    </w:lvl>
    <w:lvl w:ilvl="8" w:tplc="F11AFFF8">
      <w:start w:val="1"/>
      <w:numFmt w:val="bullet"/>
      <w:lvlText w:val="•"/>
      <w:lvlJc w:val="left"/>
      <w:pPr>
        <w:ind w:left="782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2A"/>
    <w:rsid w:val="00260C2A"/>
    <w:rsid w:val="005356EB"/>
    <w:rsid w:val="0059327C"/>
    <w:rsid w:val="00685163"/>
    <w:rsid w:val="008B3D0E"/>
    <w:rsid w:val="00917425"/>
    <w:rsid w:val="00BE4077"/>
    <w:rsid w:val="00C15317"/>
    <w:rsid w:val="00C42A36"/>
    <w:rsid w:val="00C60001"/>
    <w:rsid w:val="00CB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E8418-7D15-4351-BBD2-3560908B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327C"/>
    <w:rPr>
      <w:color w:val="0000FF" w:themeColor="hyperlink"/>
      <w:u w:val="single"/>
    </w:rPr>
  </w:style>
  <w:style w:type="character" w:styleId="HTMLCite">
    <w:name w:val="HTML Cite"/>
    <w:basedOn w:val="DefaultParagraphFont"/>
    <w:uiPriority w:val="99"/>
    <w:semiHidden/>
    <w:unhideWhenUsed/>
    <w:rsid w:val="00C15317"/>
    <w:rPr>
      <w:i/>
      <w:iCs/>
    </w:rPr>
  </w:style>
  <w:style w:type="character" w:customStyle="1" w:styleId="apple-converted-space">
    <w:name w:val="apple-converted-space"/>
    <w:basedOn w:val="DefaultParagraphFont"/>
    <w:rsid w:val="00C15317"/>
  </w:style>
  <w:style w:type="character" w:styleId="FollowedHyperlink">
    <w:name w:val="FollowedHyperlink"/>
    <w:basedOn w:val="DefaultParagraphFont"/>
    <w:uiPriority w:val="99"/>
    <w:semiHidden/>
    <w:unhideWhenUsed/>
    <w:rsid w:val="00C60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232518">
      <w:bodyDiv w:val="1"/>
      <w:marLeft w:val="0"/>
      <w:marRight w:val="0"/>
      <w:marTop w:val="0"/>
      <w:marBottom w:val="0"/>
      <w:divBdr>
        <w:top w:val="none" w:sz="0" w:space="0" w:color="auto"/>
        <w:left w:val="none" w:sz="0" w:space="0" w:color="auto"/>
        <w:bottom w:val="none" w:sz="0" w:space="0" w:color="auto"/>
        <w:right w:val="none" w:sz="0" w:space="0" w:color="auto"/>
      </w:divBdr>
      <w:divsChild>
        <w:div w:id="237442057">
          <w:marLeft w:val="446"/>
          <w:marRight w:val="0"/>
          <w:marTop w:val="96"/>
          <w:marBottom w:val="120"/>
          <w:divBdr>
            <w:top w:val="none" w:sz="0" w:space="0" w:color="auto"/>
            <w:left w:val="none" w:sz="0" w:space="0" w:color="auto"/>
            <w:bottom w:val="none" w:sz="0" w:space="0" w:color="auto"/>
            <w:right w:val="none" w:sz="0" w:space="0" w:color="auto"/>
          </w:divBdr>
        </w:div>
        <w:div w:id="914782816">
          <w:marLeft w:val="446"/>
          <w:marRight w:val="0"/>
          <w:marTop w:val="96"/>
          <w:marBottom w:val="120"/>
          <w:divBdr>
            <w:top w:val="none" w:sz="0" w:space="0" w:color="auto"/>
            <w:left w:val="none" w:sz="0" w:space="0" w:color="auto"/>
            <w:bottom w:val="none" w:sz="0" w:space="0" w:color="auto"/>
            <w:right w:val="none" w:sz="0" w:space="0" w:color="auto"/>
          </w:divBdr>
        </w:div>
        <w:div w:id="1189564718">
          <w:marLeft w:val="446"/>
          <w:marRight w:val="0"/>
          <w:marTop w:val="96"/>
          <w:marBottom w:val="120"/>
          <w:divBdr>
            <w:top w:val="none" w:sz="0" w:space="0" w:color="auto"/>
            <w:left w:val="none" w:sz="0" w:space="0" w:color="auto"/>
            <w:bottom w:val="none" w:sz="0" w:space="0" w:color="auto"/>
            <w:right w:val="none" w:sz="0" w:space="0" w:color="auto"/>
          </w:divBdr>
        </w:div>
        <w:div w:id="1657343385">
          <w:marLeft w:val="446"/>
          <w:marRight w:val="0"/>
          <w:marTop w:val="96"/>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files.eric.ed.gov/fulltext/ED336049.pdf" TargetMode="External"/><Relationship Id="rId13" Type="http://schemas.openxmlformats.org/officeDocument/2006/relationships/hyperlink" Target="http://punya.educ.msu.edu/publications/21stCenturyKnowledge_PM_KK.pdf" TargetMode="External"/><Relationship Id="rId3" Type="http://schemas.openxmlformats.org/officeDocument/2006/relationships/settings" Target="settings.xml"/><Relationship Id="rId7" Type="http://schemas.openxmlformats.org/officeDocument/2006/relationships/hyperlink" Target="http://fcl.eun.org/documents/10180/14691/5.3x+-+21cld+learning+activity+rubrics+2012.pdf/e240da11-07c2-4633-a86e-06c12f00d8ad?version=1.0" TargetMode="External"/><Relationship Id="rId12" Type="http://schemas.openxmlformats.org/officeDocument/2006/relationships/hyperlink" Target="http://ideaedu.org/research-and-papers/idea-papers/53-active-learning-strategies-face-face-cours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rorai@stclaircollege.ca" TargetMode="External"/><Relationship Id="rId11" Type="http://schemas.openxmlformats.org/officeDocument/2006/relationships/hyperlink" Target="http://ideaedu.org/research-and-papers/idea-papers/53-active-learning-strategies-face-face-course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ideaedu.org/research-and-papers/idea-papers/53-active-learning-strategies-face-face-courses" TargetMode="External"/><Relationship Id="rId4" Type="http://schemas.openxmlformats.org/officeDocument/2006/relationships/webSettings" Target="webSettings.xml"/><Relationship Id="rId9" Type="http://schemas.openxmlformats.org/officeDocument/2006/relationships/hyperlink" Target="http://www.pnas.org/content/111/23/8410.full" TargetMode="External"/><Relationship Id="rId14" Type="http://schemas.openxmlformats.org/officeDocument/2006/relationships/hyperlink" Target="http://www4.ncsu.edu/unity/lockers/users/f/felder/public/Papers/ALpaper(AS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Clair College</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Natasha Patrito Hannon</cp:lastModifiedBy>
  <cp:revision>2</cp:revision>
  <dcterms:created xsi:type="dcterms:W3CDTF">2015-04-20T15:40:00Z</dcterms:created>
  <dcterms:modified xsi:type="dcterms:W3CDTF">2015-04-20T15:40:00Z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2014-07-15T00:00:00Z</vt:filetime>
  </property>
  <property fmtid="{D5CDD505-2E9C-101B-9397-08002B2CF9AE}" pid="3" name="LastSaved">
    <vt:filetime>2015-03-31T00:00:00Z</vt:filetime>
  </property>
</Properties>
</file>